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6" w:name="Xba9e41bd45e594d697052d9a65ea37cbc76f2e2"/>
    <w:p>
      <w:pPr>
        <w:pStyle w:val="Heading1"/>
      </w:pPr>
      <w:r>
        <w:t xml:space="preserve">Build Better Teams: a business case for your team</w:t>
      </w:r>
    </w:p>
    <w:p>
      <w:pPr>
        <w:pStyle w:val="FirstParagraph"/>
      </w:pPr>
      <w:r>
        <w:rPr>
          <w:i/>
          <w:iCs/>
        </w:rPr>
        <w:t xml:space="preserve">A short document a team leader can share with HR or a budget holder. Figures come from the published research listed at the end. Numbers in [brackets] are placeholders for your own assumptions.</w:t>
      </w:r>
    </w:p>
    <w:bookmarkStart w:id="9" w:name="the-problem"/>
    <w:p>
      <w:pPr>
        <w:pStyle w:val="Heading2"/>
      </w:pPr>
      <w:r>
        <w:t xml:space="preserve">1. The problem</w:t>
      </w:r>
    </w:p>
    <w:p>
      <w:pPr>
        <w:pStyle w:val="FirstParagraph"/>
      </w:pPr>
      <w:r>
        <w:rPr>
          <w:b/>
          <w:bCs/>
        </w:rPr>
        <w:t xml:space="preserve">Most important work depends on teams, and how a team works together is a large part of its results.</w:t>
      </w:r>
    </w:p>
    <w:p>
      <w:pPr>
        <w:pStyle w:val="Compact"/>
        <w:numPr>
          <w:ilvl w:val="0"/>
          <w:numId w:val="1001"/>
        </w:numPr>
      </w:pPr>
      <w:r>
        <w:rPr>
          <w:b/>
          <w:bCs/>
        </w:rPr>
        <w:t xml:space="preserve">Collaboration takes up more and more of the working week.</w:t>
      </w:r>
      <w:r>
        <w:t xml:space="preserve"> </w:t>
      </w:r>
      <w:r>
        <w:t xml:space="preserve">Researchers writing in</w:t>
      </w:r>
      <w:r>
        <w:t xml:space="preserve"> </w:t>
      </w:r>
      <w:r>
        <w:rPr>
          <w:i/>
          <w:iCs/>
        </w:rPr>
        <w:t xml:space="preserve">Harvard Business Review</w:t>
      </w:r>
      <w:r>
        <w:t xml:space="preserve"> </w:t>
      </w:r>
      <w:r>
        <w:t xml:space="preserve">report that</w:t>
      </w:r>
      <w:r>
        <w:t xml:space="preserve"> </w:t>
      </w:r>
      <w:r>
        <w:t xml:space="preserve">“the time spent by managers and employees in collaborative activities has ballooned by 50% or more.”</w:t>
      </w:r>
      <w:r>
        <w:t xml:space="preserve"> </w:t>
      </w:r>
      <w:r>
        <w:rPr>
          <w:i/>
          <w:iCs/>
        </w:rPr>
        <w:t xml:space="preserve">(Practitioner article, not peer-reviewed.)</w:t>
      </w:r>
      <w:r>
        <w:t xml:space="preserve"> </w:t>
      </w:r>
      <w:r>
        <w:t xml:space="preserve">(Cross et al., 2016)</w:t>
      </w:r>
    </w:p>
    <w:p>
      <w:pPr>
        <w:pStyle w:val="Compact"/>
        <w:numPr>
          <w:ilvl w:val="0"/>
          <w:numId w:val="1001"/>
        </w:numPr>
      </w:pPr>
      <w:r>
        <w:rPr>
          <w:b/>
          <w:bCs/>
        </w:rPr>
        <w:t xml:space="preserve">Talent alone is not enough.</w:t>
      </w:r>
      <w:r>
        <w:t xml:space="preserve"> </w:t>
      </w:r>
      <w:r>
        <w:t xml:space="preserve">Star analysts who moved firms on their own saw their performance fall, often for years, unless they moved to a firm with stronger capabilities. Those who moved with their teammates showed no significant decline. (Groysberg et al., 2008)</w:t>
      </w:r>
    </w:p>
    <w:p>
      <w:pPr>
        <w:pStyle w:val="Compact"/>
        <w:numPr>
          <w:ilvl w:val="0"/>
          <w:numId w:val="1001"/>
        </w:numPr>
      </w:pPr>
      <w:r>
        <w:rPr>
          <w:b/>
          <w:bCs/>
        </w:rPr>
        <w:t xml:space="preserve">Unclear roles cost performance.</w:t>
      </w:r>
      <w:r>
        <w:t xml:space="preserve"> </w:t>
      </w:r>
      <w:r>
        <w:t xml:space="preserve">In a meta-analysis of 169 samples (35,265 employees), role ambiguity was among the two work stressors most strongly linked to lower job performance.</w:t>
      </w:r>
      <w:r>
        <w:t xml:space="preserve"> </w:t>
      </w:r>
      <w:r>
        <w:rPr>
          <w:i/>
          <w:iCs/>
        </w:rPr>
        <w:t xml:space="preserve">(Individual-level evidence.)</w:t>
      </w:r>
      <w:r>
        <w:t xml:space="preserve"> </w:t>
      </w:r>
      <w:r>
        <w:t xml:space="preserve">(Gilboa et al., 2008)</w:t>
      </w:r>
    </w:p>
    <w:p>
      <w:pPr>
        <w:pStyle w:val="Compact"/>
        <w:numPr>
          <w:ilvl w:val="0"/>
          <w:numId w:val="1001"/>
        </w:numPr>
      </w:pPr>
      <w:r>
        <w:rPr>
          <w:b/>
          <w:bCs/>
        </w:rPr>
        <w:t xml:space="preserve">Conflict that turns personal is expensive.</w:t>
      </w:r>
      <w:r>
        <w:t xml:space="preserve"> </w:t>
      </w:r>
      <w:r>
        <w:t xml:space="preserve">Across studies of work teams, conflict about relationships was linked to lower team performance (ρ = −.22) and much lower member satisfaction (ρ = −.54). (De Dreu &amp; Weingart, 2003)</w:t>
      </w:r>
    </w:p>
    <w:p>
      <w:pPr>
        <w:pStyle w:val="Compact"/>
        <w:numPr>
          <w:ilvl w:val="0"/>
          <w:numId w:val="1001"/>
        </w:numPr>
      </w:pPr>
      <w:r>
        <w:rPr>
          <w:b/>
          <w:bCs/>
        </w:rPr>
        <w:t xml:space="preserve">Development done badly can backfire.</w:t>
      </w:r>
      <w:r>
        <w:t xml:space="preserve"> </w:t>
      </w:r>
      <w:r>
        <w:t xml:space="preserve">In a meta-analysis of 607 effect sizes, feedback improved performance on average, but in more than a third of cases it made performance worse. (Kluger &amp; DeNisi, 1996) One-off, massed training also shows weaker effects on job behaviour than training spread across sessions. (Lacerenza et al., 2017)</w:t>
      </w:r>
    </w:p>
    <w:p>
      <w:r>
        <w:pict>
          <v:rect style="width:0;height:1.5pt" o:hralign="center" o:hrstd="t" o:hr="t"/>
        </w:pict>
      </w:r>
    </w:p>
    <w:bookmarkEnd w:id="9"/>
    <w:bookmarkStart w:id="10" w:name="the-evidence"/>
    <w:p>
      <w:pPr>
        <w:pStyle w:val="Heading2"/>
      </w:pPr>
      <w:r>
        <w:t xml:space="preserve">2. The evidence</w:t>
      </w:r>
    </w:p>
    <w:p>
      <w:pPr>
        <w:pStyle w:val="FirstParagraph"/>
      </w:pPr>
      <w:r>
        <w:t xml:space="preserve">What the research says about the building blocks of the journey.</w:t>
      </w:r>
      <w:r>
        <w:t xml:space="preserve"> </w:t>
      </w:r>
      <w:r>
        <w:rPr>
          <w:i/>
          <w:iCs/>
        </w:rPr>
        <w:t xml:space="preserve">“d”</w:t>
      </w:r>
      <w:r>
        <w:rPr>
          <w:i/>
          <w:iCs/>
        </w:rPr>
        <w:t xml:space="preserve"> </w:t>
      </w:r>
      <w:r>
        <w:rPr>
          <w:i/>
          <w:iCs/>
        </w:rPr>
        <w:t xml:space="preserve">compares groups that received an intervention with groups that did not;</w:t>
      </w:r>
      <w:r>
        <w:rPr>
          <w:i/>
          <w:iCs/>
        </w:rPr>
        <w:t xml:space="preserve"> </w:t>
      </w:r>
      <w:r>
        <w:rPr>
          <w:i/>
          <w:iCs/>
        </w:rPr>
        <w:t xml:space="preserve">“ρ”</w:t>
      </w:r>
      <w:r>
        <w:rPr>
          <w:i/>
          <w:iCs/>
        </w:rPr>
        <w:t xml:space="preserve"> </w:t>
      </w:r>
      <w:r>
        <w:rPr>
          <w:i/>
          <w:iCs/>
        </w:rPr>
        <w:t xml:space="preserve">is a corrected correlation.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What was studied</w:t>
            </w:r>
          </w:p>
        </w:tc>
        <w:tc>
          <w:tcPr/>
          <w:p>
            <w:pPr>
              <w:pStyle w:val="Compact"/>
            </w:pPr>
            <w:r>
              <w:t xml:space="preserve">What the research found</w:t>
            </w:r>
          </w:p>
        </w:tc>
        <w:tc>
          <w:tcPr/>
          <w:p>
            <w:pPr>
              <w:pStyle w:val="Compact"/>
            </w:pPr>
            <w:r>
              <w:t xml:space="preserve">Source in plain language</w:t>
            </w:r>
          </w:p>
        </w:tc>
      </w:tr>
      <w:tr>
        <w:tc>
          <w:tcPr/>
          <w:p>
            <w:pPr>
              <w:pStyle w:val="Compact"/>
            </w:pPr>
            <w:r>
              <w:rPr>
                <w:b/>
                <w:bCs/>
              </w:rPr>
              <w:t xml:space="preserve">Team debriefs</w:t>
            </w:r>
            <w:r>
              <w:t xml:space="preserve">: a team reviews its own recent work</w:t>
            </w:r>
          </w:p>
        </w:tc>
        <w:tc>
          <w:tcPr/>
          <w:p>
            <w:pPr>
              <w:pStyle w:val="Compact"/>
            </w:pPr>
            <w:r>
              <w:t xml:space="preserve">Improved performance versus control groups (d = 0.67; the authors put the average gain at about 20–25%); in real work settings, d = 0.56</w:t>
            </w:r>
          </w:p>
        </w:tc>
        <w:tc>
          <w:tcPr/>
          <w:p>
            <w:pPr>
              <w:pStyle w:val="Compact"/>
            </w:pPr>
            <w:r>
              <w:t xml:space="preserve">Meta-analysis of 46 independent samples, 2,136 people; medical, military, aviation and other settings (Tannenbaum &amp; Cerasoli, 2013)</w:t>
            </w:r>
          </w:p>
        </w:tc>
      </w:tr>
      <w:tr>
        <w:tc>
          <w:tcPr/>
          <w:p>
            <w:pPr>
              <w:pStyle w:val="Compact"/>
            </w:pPr>
            <w:r>
              <w:rPr>
                <w:b/>
                <w:bCs/>
              </w:rPr>
              <w:t xml:space="preserve">Teamwork training</w:t>
            </w:r>
          </w:p>
        </w:tc>
        <w:tc>
          <w:tcPr/>
          <w:p>
            <w:pPr>
              <w:pStyle w:val="Compact"/>
            </w:pPr>
            <w:r>
              <w:t xml:space="preserve">Medium-sized gains in team performance (d = 0.58). Interactive methods (workshops, practice, team reviews) changed teamwork behaviour most clearly; lectures alone showed no significant change in teamwork behaviour.</w:t>
            </w:r>
          </w:p>
        </w:tc>
        <w:tc>
          <w:tcPr/>
          <w:p>
            <w:pPr>
              <w:pStyle w:val="Compact"/>
            </w:pPr>
            <w:r>
              <w:t xml:space="preserve">Meta-analysis of 51 controlled studies, 8,439 participants (McEwan et al., 2017)</w:t>
            </w:r>
          </w:p>
        </w:tc>
      </w:tr>
      <w:tr>
        <w:tc>
          <w:tcPr/>
          <w:p>
            <w:pPr>
              <w:pStyle w:val="Compact"/>
            </w:pPr>
            <w:r>
              <w:rPr>
                <w:b/>
                <w:bCs/>
              </w:rPr>
              <w:t xml:space="preserve">Guided team reflection</w:t>
            </w:r>
          </w:p>
        </w:tc>
        <w:tc>
          <w:tcPr/>
          <w:p>
            <w:pPr>
              <w:pStyle w:val="Compact"/>
            </w:pPr>
            <w:r>
              <w:t xml:space="preserve">Medium-sized effect on team performance outcomes (g = 0.55)</w:t>
            </w:r>
          </w:p>
        </w:tc>
        <w:tc>
          <w:tcPr/>
          <w:p>
            <w:pPr>
              <w:pStyle w:val="Compact"/>
            </w:pPr>
            <w:r>
              <w:t xml:space="preserve">Meta-analysis of 24 randomised experiments, 4,339 participants (Lines et al., 2021)</w:t>
            </w:r>
          </w:p>
        </w:tc>
      </w:tr>
      <w:tr>
        <w:tc>
          <w:tcPr/>
          <w:p>
            <w:pPr>
              <w:pStyle w:val="Compact"/>
            </w:pPr>
            <w:r>
              <w:rPr>
                <w:b/>
                <w:bCs/>
              </w:rPr>
              <w:t xml:space="preserve">Trust within the team</w:t>
            </w:r>
          </w:p>
        </w:tc>
        <w:tc>
          <w:tcPr/>
          <w:p>
            <w:pPr>
              <w:pStyle w:val="Compact"/>
            </w:pPr>
            <w:r>
              <w:t xml:space="preserve">Linked to team performance (ρ = .30), even after accounting for past performance</w:t>
            </w:r>
          </w:p>
        </w:tc>
        <w:tc>
          <w:tcPr/>
          <w:p>
            <w:pPr>
              <w:pStyle w:val="Compact"/>
            </w:pPr>
            <w:r>
              <w:t xml:space="preserve">Meta-analysis of 112 studies, 7,763 teams (de Jong et al., 2016)</w:t>
            </w:r>
          </w:p>
        </w:tc>
      </w:tr>
      <w:tr>
        <w:tc>
          <w:tcPr/>
          <w:p>
            <w:pPr>
              <w:pStyle w:val="Compact"/>
            </w:pPr>
            <w:r>
              <w:rPr>
                <w:b/>
                <w:bCs/>
              </w:rPr>
              <w:t xml:space="preserve">Specific group goals</w:t>
            </w:r>
          </w:p>
        </w:tc>
        <w:tc>
          <w:tcPr/>
          <w:p>
            <w:pPr>
              <w:pStyle w:val="Compact"/>
            </w:pPr>
            <w:r>
              <w:t xml:space="preserve">Specific, challenging group goals beat vague ones (d = 0.80)</w:t>
            </w:r>
          </w:p>
        </w:tc>
        <w:tc>
          <w:tcPr/>
          <w:p>
            <w:pPr>
              <w:pStyle w:val="Compact"/>
            </w:pPr>
            <w:r>
              <w:t xml:space="preserve">Meta-analysis of group goal-setting studies (23 effect sizes for this comparison; the authors note few recent field studies) (Kleingeld et al., 2011)</w:t>
            </w:r>
          </w:p>
        </w:tc>
      </w:tr>
      <w:tr>
        <w:tc>
          <w:tcPr/>
          <w:p>
            <w:pPr>
              <w:pStyle w:val="Compact"/>
            </w:pPr>
            <w:r>
              <w:rPr>
                <w:b/>
                <w:bCs/>
              </w:rPr>
              <w:t xml:space="preserve">How teams handle disagreement</w:t>
            </w:r>
          </w:p>
        </w:tc>
        <w:tc>
          <w:tcPr/>
          <w:p>
            <w:pPr>
              <w:pStyle w:val="Compact"/>
            </w:pPr>
            <w:r>
              <w:t xml:space="preserve">Explained an additional 13% of the variance in team performance beyond how much conflict there was</w:t>
            </w:r>
          </w:p>
        </w:tc>
        <w:tc>
          <w:tcPr/>
          <w:p>
            <w:pPr>
              <w:pStyle w:val="Compact"/>
            </w:pPr>
            <w:r>
              <w:t xml:space="preserve">Meta-analysis of 45 studies, 3,218 teams (DeChurch et al., 2013)</w:t>
            </w:r>
          </w:p>
        </w:tc>
      </w:tr>
      <w:tr>
        <w:tc>
          <w:tcPr/>
          <w:p>
            <w:pPr>
              <w:pStyle w:val="Compact"/>
            </w:pPr>
            <w:r>
              <w:rPr>
                <w:b/>
                <w:bCs/>
              </w:rPr>
              <w:t xml:space="preserve">“If–then”</w:t>
            </w:r>
            <w:r>
              <w:rPr>
                <w:b/>
                <w:bCs/>
              </w:rPr>
              <w:t xml:space="preserve"> </w:t>
            </w:r>
            <w:r>
              <w:rPr>
                <w:b/>
                <w:bCs/>
              </w:rPr>
              <w:t xml:space="preserve">action plans</w:t>
            </w:r>
          </w:p>
        </w:tc>
        <w:tc>
          <w:tcPr/>
          <w:p>
            <w:pPr>
              <w:pStyle w:val="Compact"/>
            </w:pPr>
            <w:r>
              <w:t xml:space="preserve">Medium-to-large effect on reaching goals (d = 0.65)</w:t>
            </w:r>
          </w:p>
        </w:tc>
        <w:tc>
          <w:tcPr/>
          <w:p>
            <w:pPr>
              <w:pStyle w:val="Compact"/>
            </w:pPr>
            <w:r>
              <w:t xml:space="preserve">Meta-analysis of 94 independent tests, mostly individuals (Gollwitzer &amp; Sheeran, 2006)</w:t>
            </w:r>
          </w:p>
        </w:tc>
      </w:tr>
      <w:tr>
        <w:tc>
          <w:tcPr/>
          <w:p>
            <w:pPr>
              <w:pStyle w:val="Compact"/>
            </w:pPr>
            <w:r>
              <w:rPr>
                <w:b/>
                <w:bCs/>
              </w:rPr>
              <w:t xml:space="preserve">Monitoring progress</w:t>
            </w:r>
          </w:p>
        </w:tc>
        <w:tc>
          <w:tcPr/>
          <w:p>
            <w:pPr>
              <w:pStyle w:val="Compact"/>
            </w:pPr>
            <w:r>
              <w:t xml:space="preserve">Improved goal attainment (d = 0.40), more so when progress was recorded or shared</w:t>
            </w:r>
          </w:p>
        </w:tc>
        <w:tc>
          <w:tcPr/>
          <w:p>
            <w:pPr>
              <w:pStyle w:val="Compact"/>
            </w:pPr>
            <w:r>
              <w:t xml:space="preserve">Meta-analysis of 138 experiments, 19,951 people, mostly individual goals (Harkin et al., 2016)</w:t>
            </w:r>
          </w:p>
        </w:tc>
      </w:tr>
      <w:tr>
        <w:tc>
          <w:tcPr/>
          <w:p>
            <w:pPr>
              <w:pStyle w:val="Compact"/>
            </w:pPr>
            <w:r>
              <w:rPr>
                <w:b/>
                <w:bCs/>
              </w:rPr>
              <w:t xml:space="preserve">Spacing over several sessions</w:t>
            </w:r>
          </w:p>
        </w:tc>
        <w:tc>
          <w:tcPr/>
          <w:p>
            <w:pPr>
              <w:pStyle w:val="Compact"/>
            </w:pPr>
            <w:r>
              <w:t xml:space="preserve">Larger effects on on-the-job behaviour (δ = .92 vs .45) and results (δ = .48 vs .18) than single sessions</w:t>
            </w:r>
          </w:p>
        </w:tc>
        <w:tc>
          <w:tcPr/>
          <w:p>
            <w:pPr>
              <w:pStyle w:val="Compact"/>
            </w:pPr>
            <w:r>
              <w:t xml:space="preserve">Meta-analysis of 335 leadership-training samples (Lacerenza et al., 2017)</w:t>
            </w:r>
          </w:p>
        </w:tc>
      </w:tr>
    </w:tbl>
    <w:p>
      <w:pPr>
        <w:pStyle w:val="BodyText"/>
      </w:pPr>
      <w:r>
        <w:rPr>
          <w:b/>
          <w:bCs/>
        </w:rPr>
        <w:t xml:space="preserve">What these findings do not show.</w:t>
      </w:r>
      <w:r>
        <w:t xml:space="preserve"> </w:t>
      </w:r>
      <w:r>
        <w:t xml:space="preserve">They come from studies of similar interventions with other teams, often in health care, the military, aviation, laboratories or classrooms. They are averages, and some effects were smaller in the most rigorous studies. They are not studies of Build Better Teams, and they do not predict a result for your team. BBT’s short team surveys are discussion tools; their measurement properties have not yet been independently validated. We intend to share what we learn from our founding teams’ follow-up surveys.</w:t>
      </w:r>
    </w:p>
    <w:p>
      <w:r>
        <w:pict>
          <v:rect style="width:0;height:1.5pt" o:hralign="center" o:hrstd="t" o:hr="t"/>
        </w:pict>
      </w:r>
    </w:p>
    <w:bookmarkEnd w:id="10"/>
    <w:bookmarkStart w:id="11" w:name="how-bbts-design-maps-to-the-evidence"/>
    <w:p>
      <w:pPr>
        <w:pStyle w:val="Heading2"/>
      </w:pPr>
      <w:r>
        <w:t xml:space="preserve">3. How BBT’s design maps to the evidence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BBT design choice</w:t>
            </w:r>
          </w:p>
        </w:tc>
        <w:tc>
          <w:tcPr/>
          <w:p>
            <w:pPr>
              <w:pStyle w:val="Compact"/>
            </w:pPr>
            <w:r>
              <w:t xml:space="preserve">Evidence it draws on</w:t>
            </w:r>
          </w:p>
        </w:tc>
      </w:tr>
      <w:tr>
        <w:tc>
          <w:tcPr/>
          <w:p>
            <w:pPr>
              <w:pStyle w:val="Compact"/>
            </w:pPr>
            <w:r>
              <w:t xml:space="preserve">The team works on its</w:t>
            </w:r>
            <w:r>
              <w:t xml:space="preserve"> </w:t>
            </w:r>
            <w:r>
              <w:rPr>
                <w:b/>
                <w:bCs/>
              </w:rPr>
              <w:t xml:space="preserve">own data and real situations</w:t>
            </w:r>
            <w:r>
              <w:t xml:space="preserve"> </w:t>
            </w:r>
            <w:r>
              <w:t xml:space="preserve">during the working week, not at an offsite</w:t>
            </w:r>
          </w:p>
        </w:tc>
        <w:tc>
          <w:tcPr/>
          <w:p>
            <w:pPr>
              <w:pStyle w:val="Compact"/>
            </w:pPr>
            <w:r>
              <w:t xml:space="preserve">Debriefs work in real settings (Tannenbaum &amp; Cerasoli, 2013); supportive work environment and transfer (Blume et al., 2010); on-site programmes showed stronger effects on results (Lacerenza et al., 2017)</w:t>
            </w:r>
          </w:p>
        </w:tc>
      </w:tr>
      <w:tr>
        <w:tc>
          <w:tcPr/>
          <w:p>
            <w:pPr>
              <w:pStyle w:val="Compact"/>
            </w:pPr>
            <w:r>
              <w:rPr>
                <w:b/>
                <w:bCs/>
              </w:rPr>
              <w:t xml:space="preserve">Roughly one unit a week for about six weeks</w:t>
            </w:r>
            <w:r>
              <w:t xml:space="preserve">, not a single day</w:t>
            </w:r>
          </w:p>
        </w:tc>
        <w:tc>
          <w:tcPr/>
          <w:p>
            <w:pPr>
              <w:pStyle w:val="Compact"/>
            </w:pPr>
            <w:r>
              <w:t xml:space="preserve">Spaced practice (Donovan &amp; Radosevich, 1999; Lacerenza et al., 2017)</w:t>
            </w:r>
          </w:p>
        </w:tc>
      </w:tr>
      <w:tr>
        <w:tc>
          <w:tcPr/>
          <w:p>
            <w:pPr>
              <w:pStyle w:val="Compact"/>
            </w:pPr>
            <w:r>
              <w:t xml:space="preserve">Each unit ends in a</w:t>
            </w:r>
            <w:r>
              <w:t xml:space="preserve"> </w:t>
            </w:r>
            <w:r>
              <w:rPr>
                <w:b/>
                <w:bCs/>
              </w:rPr>
              <w:t xml:space="preserve">structured team meeting</w:t>
            </w:r>
            <w:r>
              <w:t xml:space="preserve"> </w:t>
            </w:r>
            <w:r>
              <w:t xml:space="preserve">to discuss the team’s survey results</w:t>
            </w:r>
          </w:p>
        </w:tc>
        <w:tc>
          <w:tcPr/>
          <w:p>
            <w:pPr>
              <w:pStyle w:val="Compact"/>
            </w:pPr>
            <w:r>
              <w:t xml:space="preserve">Debriefs (Tannenbaum &amp; Cerasoli, 2013); guided reflection (Lines et al., 2021); feedback plus team discussion (Gabelica et al., 2014)</w:t>
            </w:r>
          </w:p>
        </w:tc>
      </w:tr>
      <w:tr>
        <w:tc>
          <w:tcPr/>
          <w:p>
            <w:pPr>
              <w:pStyle w:val="Compact"/>
            </w:pPr>
            <w:r>
              <w:t xml:space="preserve">A</w:t>
            </w:r>
            <w:r>
              <w:t xml:space="preserve"> </w:t>
            </w:r>
            <w:r>
              <w:rPr>
                <w:b/>
                <w:bCs/>
              </w:rPr>
              <w:t xml:space="preserve">team agreement and named individual commitments</w:t>
            </w:r>
            <w:r>
              <w:t xml:space="preserve">, each with an owner and a review date</w:t>
            </w:r>
          </w:p>
        </w:tc>
        <w:tc>
          <w:tcPr/>
          <w:p>
            <w:pPr>
              <w:pStyle w:val="Compact"/>
            </w:pPr>
            <w:r>
              <w:t xml:space="preserve">If–then plans (Gollwitzer &amp; Sheeran, 2006); group-focused goals (Kleingeld et al., 2011); commitment making (Lokhorst et al., 2013); concrete actions rather than announced aspirations (Gollwitzer et al., 2009)</w:t>
            </w:r>
          </w:p>
        </w:tc>
      </w:tr>
      <w:tr>
        <w:tc>
          <w:tcPr/>
          <w:p>
            <w:pPr>
              <w:pStyle w:val="Compact"/>
            </w:pPr>
            <w:r>
              <w:t xml:space="preserve">Each meeting</w:t>
            </w:r>
            <w:r>
              <w:t xml:space="preserve"> </w:t>
            </w:r>
            <w:r>
              <w:rPr>
                <w:b/>
                <w:bCs/>
              </w:rPr>
              <w:t xml:space="preserve">opens by reviewing last time’s commitments</w:t>
            </w:r>
            <w:r>
              <w:t xml:space="preserve">; a</w:t>
            </w:r>
            <w:r>
              <w:t xml:space="preserve"> </w:t>
            </w:r>
            <w:r>
              <w:rPr>
                <w:b/>
                <w:bCs/>
              </w:rPr>
              <w:t xml:space="preserve">follow-up survey</w:t>
            </w:r>
            <w:r>
              <w:t xml:space="preserve"> </w:t>
            </w:r>
            <w:r>
              <w:t xml:space="preserve">re-measures what the team chose</w:t>
            </w:r>
          </w:p>
        </w:tc>
        <w:tc>
          <w:tcPr/>
          <w:p>
            <w:pPr>
              <w:pStyle w:val="Compact"/>
            </w:pPr>
            <w:r>
              <w:t xml:space="preserve">Progress monitoring (Harkin et al., 2016); goal setting and action after feedback (Smither et al., 2005)</w:t>
            </w:r>
          </w:p>
        </w:tc>
      </w:tr>
      <w:tr>
        <w:tc>
          <w:tcPr/>
          <w:p>
            <w:pPr>
              <w:pStyle w:val="Compact"/>
            </w:pPr>
            <w:r>
              <w:rPr>
                <w:b/>
                <w:bCs/>
              </w:rPr>
              <w:t xml:space="preserve">Anonymous team results, private peer feedback</w:t>
            </w:r>
            <w:r>
              <w:t xml:space="preserve">, meetings about patterns rather than people</w:t>
            </w:r>
          </w:p>
        </w:tc>
        <w:tc>
          <w:tcPr/>
          <w:p>
            <w:pPr>
              <w:pStyle w:val="Compact"/>
            </w:pPr>
            <w:r>
              <w:t xml:space="preserve">Psychological safety (Edmondson, 1999); anonymous raters feel more comfortable and rate less generously (Antonioni, 1994); feedback aimed at the person can backfire (Kluger &amp; DeNisi, 1996)</w:t>
            </w:r>
          </w:p>
        </w:tc>
      </w:tr>
      <w:tr>
        <w:tc>
          <w:tcPr/>
          <w:p>
            <w:pPr>
              <w:pStyle w:val="Compact"/>
            </w:pPr>
            <w:r>
              <w:t xml:space="preserve">Topics chosen for their link to performance:</w:t>
            </w:r>
            <w:r>
              <w:t xml:space="preserve"> </w:t>
            </w:r>
            <w:r>
              <w:rPr>
                <w:b/>
                <w:bCs/>
              </w:rPr>
              <w:t xml:space="preserve">goals, safety and trust, working styles, roles and coordination, feedback, disagreement</w:t>
            </w:r>
          </w:p>
        </w:tc>
        <w:tc>
          <w:tcPr/>
          <w:p>
            <w:pPr>
              <w:pStyle w:val="Compact"/>
            </w:pPr>
            <w:r>
              <w:t xml:space="preserve">See the unit-by-unit evidence on the research page</w:t>
            </w:r>
          </w:p>
        </w:tc>
      </w:tr>
    </w:tbl>
    <w:p>
      <w:r>
        <w:pict>
          <v:rect style="width:0;height:1.5pt" o:hralign="center" o:hrstd="t" o:hr="t"/>
        </w:pict>
      </w:r>
    </w:p>
    <w:bookmarkEnd w:id="11"/>
    <w:bookmarkStart w:id="12" w:name="the-time-it-takes"/>
    <w:p>
      <w:pPr>
        <w:pStyle w:val="Heading2"/>
      </w:pPr>
      <w:r>
        <w:t xml:space="preserve">4. The time it takes</w:t>
      </w:r>
    </w:p>
    <w:p>
      <w:pPr>
        <w:pStyle w:val="FirstParagraph"/>
      </w:pPr>
      <w:r>
        <w:t xml:space="preserve">Figures are taken from BBT’s facilitation guides. You choose the units and the pace.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Activity</w:t>
            </w:r>
          </w:p>
        </w:tc>
        <w:tc>
          <w:tcPr/>
          <w:p>
            <w:pPr>
              <w:pStyle w:val="Compact"/>
            </w:pPr>
            <w:r>
              <w:t xml:space="preserve">Typical time per person</w:t>
            </w:r>
          </w:p>
        </w:tc>
      </w:tr>
      <w:tr>
        <w:tc>
          <w:tcPr/>
          <w:p>
            <w:pPr>
              <w:pStyle w:val="Compact"/>
            </w:pPr>
            <w:r>
              <w:t xml:space="preserve">Short surveys (most take 3–10 minutes; the guides list about 3, 5, 6, 6 and 7 minutes for the main unit surveys)</w:t>
            </w:r>
          </w:p>
        </w:tc>
        <w:tc>
          <w:tcPr/>
          <w:p>
            <w:pPr>
              <w:pStyle w:val="Compact"/>
            </w:pPr>
            <w:r>
              <w:t xml:space="preserve">under 1 hour in total</w:t>
            </w:r>
          </w:p>
        </w:tc>
      </w:tr>
      <w:tr>
        <w:tc>
          <w:tcPr/>
          <w:p>
            <w:pPr>
              <w:pStyle w:val="Compact"/>
            </w:pPr>
            <w:r>
              <w:t xml:space="preserve">Seven team meetings (most 60–90 minutes; the Follow-up meeting about 50–70 minutes; Working Styles and Peer Feedback scale with team size, about 65–80 minutes for six people)</w:t>
            </w:r>
          </w:p>
        </w:tc>
        <w:tc>
          <w:tcPr/>
          <w:p>
            <w:pPr>
              <w:pStyle w:val="Compact"/>
            </w:pPr>
            <w:r>
              <w:t xml:space="preserve">about 7–9 hours in total</w:t>
            </w:r>
          </w:p>
        </w:tc>
      </w:tr>
      <w:tr>
        <w:tc>
          <w:tcPr/>
          <w:p>
            <w:pPr>
              <w:pStyle w:val="Compact"/>
            </w:pPr>
            <w:r>
              <w:t xml:space="preserve">Reading results and preparing (for example, reading Peer Feedback reports before the meeting)</w:t>
            </w:r>
          </w:p>
        </w:tc>
        <w:tc>
          <w:tcPr/>
          <w:p>
            <w:pPr>
              <w:pStyle w:val="Compact"/>
            </w:pPr>
            <w:r>
              <w:t xml:space="preserve">short; varies</w:t>
            </w:r>
          </w:p>
        </w:tc>
      </w:tr>
      <w:tr>
        <w:tc>
          <w:tcPr/>
          <w:p>
            <w:pPr>
              <w:pStyle w:val="Compact"/>
            </w:pPr>
            <w:r>
              <w:rPr>
                <w:b/>
                <w:bCs/>
              </w:rPr>
              <w:t xml:space="preserve">Total over about six weeks</w:t>
            </w:r>
          </w:p>
        </w:tc>
        <w:tc>
          <w:tcPr/>
          <w:p>
            <w:pPr>
              <w:pStyle w:val="Compact"/>
            </w:pPr>
            <w:r>
              <w:rPr>
                <w:b/>
                <w:bCs/>
              </w:rPr>
              <w:t xml:space="preserve">roughly 8–10 hours per member</w:t>
            </w:r>
            <w:r>
              <w:t xml:space="preserve">, plus preparation time for the team lead</w:t>
            </w:r>
          </w:p>
        </w:tc>
      </w:tr>
      <w:tr>
        <w:tc>
          <w:tcPr/>
          <w:p>
            <w:pPr>
              <w:pStyle w:val="Compact"/>
            </w:pPr>
            <w:r>
              <w:t xml:space="preserve">Optional private Big Five Leadership Profile (118 statements)</w:t>
            </w:r>
          </w:p>
        </w:tc>
        <w:tc>
          <w:tcPr/>
          <w:p>
            <w:pPr>
              <w:pStyle w:val="Compact"/>
            </w:pPr>
            <w:r>
              <w:t xml:space="preserve">extra, self-paced</w:t>
            </w:r>
          </w:p>
        </w:tc>
      </w:tr>
    </w:tbl>
    <w:p>
      <w:r>
        <w:pict>
          <v:rect style="width:0;height:1.5pt" o:hralign="center" o:hrstd="t" o:hr="t"/>
        </w:pict>
      </w:r>
    </w:p>
    <w:bookmarkEnd w:id="12"/>
    <w:bookmarkStart w:id="13" w:name="Xf0cf6170677ebaf645d56b73b49f24e69c4a6bb"/>
    <w:p>
      <w:pPr>
        <w:pStyle w:val="Heading2"/>
      </w:pPr>
      <w:r>
        <w:t xml:space="preserve">5. Estimating the value for your organisation: an illustration</w:t>
      </w:r>
    </w:p>
    <w:p>
      <w:pPr>
        <w:pStyle w:val="FirstParagraph"/>
      </w:pPr>
      <w:r>
        <w:rPr>
          <w:b/>
          <w:bCs/>
        </w:rPr>
        <w:t xml:space="preserve">This is an illustration, not a forecast or a promise.</w:t>
      </w:r>
      <w:r>
        <w:t xml:space="preserve"> </w:t>
      </w:r>
      <w:r>
        <w:t xml:space="preserve">It shows how you could put a rough figure on the research findings, using your own assumptions. It uses a standard approach from HR</w:t>
      </w:r>
      <w:r>
        <w:t xml:space="preserve"> </w:t>
      </w:r>
      <w:r>
        <w:t xml:space="preserve">“utility analysis”</w:t>
      </w:r>
      <w:r>
        <w:t xml:space="preserve">. That literature warns that simple formulas tend to</w:t>
      </w:r>
      <w:r>
        <w:t xml:space="preserve"> </w:t>
      </w:r>
      <w:r>
        <w:rPr>
          <w:i/>
          <w:iCs/>
        </w:rPr>
        <w:t xml:space="preserve">overstate</w:t>
      </w:r>
      <w:r>
        <w:t xml:space="preserve"> </w:t>
      </w:r>
      <w:r>
        <w:t xml:space="preserve">returns (Sturman, 2000), so the example deliberately applies only a fraction of the research effect.</w:t>
      </w:r>
    </w:p>
    <w:p>
      <w:pPr>
        <w:pStyle w:val="BodyText"/>
      </w:pPr>
      <w:r>
        <w:rPr>
          <w:b/>
          <w:bCs/>
        </w:rPr>
        <w:t xml:space="preserve">Fill in your own numbers: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Placeholder</w:t>
            </w:r>
          </w:p>
        </w:tc>
        <w:tc>
          <w:tcPr/>
          <w:p>
            <w:pPr>
              <w:pStyle w:val="Compact"/>
            </w:pPr>
            <w:r>
              <w:t xml:space="preserve">Example value (illustrative only)</w:t>
            </w:r>
          </w:p>
        </w:tc>
      </w:tr>
      <w:tr>
        <w:tc>
          <w:tcPr/>
          <w:p>
            <w:pPr>
              <w:pStyle w:val="Compact"/>
            </w:pPr>
            <w:r>
              <w:t xml:space="preserve">A</w:t>
            </w:r>
          </w:p>
        </w:tc>
        <w:tc>
          <w:tcPr/>
          <w:p>
            <w:pPr>
              <w:pStyle w:val="Compact"/>
            </w:pPr>
            <w:r>
              <w:t xml:space="preserve">Team size</w:t>
            </w:r>
          </w:p>
        </w:tc>
        <w:tc>
          <w:tcPr/>
          <w:p>
            <w:pPr>
              <w:pStyle w:val="Compact"/>
            </w:pPr>
            <w:r>
              <w:t xml:space="preserve">[8] people</w:t>
            </w:r>
          </w:p>
        </w:tc>
      </w:tr>
      <w:tr>
        <w:tc>
          <w:tcPr/>
          <w:p>
            <w:pPr>
              <w:pStyle w:val="Compact"/>
            </w:pPr>
            <w:r>
              <w:t xml:space="preserve">B</w:t>
            </w:r>
          </w:p>
        </w:tc>
        <w:tc>
          <w:tcPr/>
          <w:p>
            <w:pPr>
              <w:pStyle w:val="Compact"/>
            </w:pPr>
            <w:r>
              <w:t xml:space="preserve">Average fully-loaded annual cost per person (salary + benefits + overheads)</w:t>
            </w:r>
          </w:p>
        </w:tc>
        <w:tc>
          <w:tcPr/>
          <w:p>
            <w:pPr>
              <w:pStyle w:val="Compact"/>
            </w:pPr>
            <w:r>
              <w:t xml:space="preserve">[120,000] in your currency</w:t>
            </w:r>
          </w:p>
        </w:tc>
      </w:tr>
      <w:tr>
        <w:tc>
          <w:tcPr/>
          <w:p>
            <w:pPr>
              <w:pStyle w:val="Compact"/>
            </w:pPr>
            <w:r>
              <w:t xml:space="preserve">C</w:t>
            </w:r>
          </w:p>
        </w:tc>
        <w:tc>
          <w:tcPr/>
          <w:p>
            <w:pPr>
              <w:pStyle w:val="Compact"/>
            </w:pPr>
            <w:r>
              <w:t xml:space="preserve">Hours each person spends on the journey</w:t>
            </w:r>
          </w:p>
        </w:tc>
        <w:tc>
          <w:tcPr/>
          <w:p>
            <w:pPr>
              <w:pStyle w:val="Compact"/>
            </w:pPr>
            <w:r>
              <w:t xml:space="preserve">[10] hours</w:t>
            </w:r>
          </w:p>
        </w:tc>
      </w:tr>
      <w:tr>
        <w:tc>
          <w:tcPr/>
          <w:p>
            <w:pPr>
              <w:pStyle w:val="Compact"/>
            </w:pPr>
            <w:r>
              <w:t xml:space="preserve">D</w:t>
            </w:r>
          </w:p>
        </w:tc>
        <w:tc>
          <w:tcPr/>
          <w:p>
            <w:pPr>
              <w:pStyle w:val="Compact"/>
            </w:pPr>
            <w:r>
              <w:t xml:space="preserve">Working hours per person per year</w:t>
            </w:r>
          </w:p>
        </w:tc>
        <w:tc>
          <w:tcPr/>
          <w:p>
            <w:pPr>
              <w:pStyle w:val="Compact"/>
            </w:pPr>
            <w:r>
              <w:t xml:space="preserve">[1,700] hours</w:t>
            </w:r>
          </w:p>
        </w:tc>
      </w:tr>
      <w:tr>
        <w:tc>
          <w:tcPr/>
          <w:p>
            <w:pPr>
              <w:pStyle w:val="Compact"/>
            </w:pPr>
            <w:r>
              <w:t xml:space="preserve">E</w:t>
            </w:r>
          </w:p>
        </w:tc>
        <w:tc>
          <w:tcPr/>
          <w:p>
            <w:pPr>
              <w:pStyle w:val="Compact"/>
            </w:pPr>
            <w:r>
              <w:t xml:space="preserve">Research effect size you choose to start from</w:t>
            </w:r>
          </w:p>
        </w:tc>
        <w:tc>
          <w:tcPr/>
          <w:p>
            <w:pPr>
              <w:pStyle w:val="Compact"/>
            </w:pPr>
            <w:r>
              <w:t xml:space="preserve">[0.58], the average effect of teamwork interventions on team performance in controlled studies (McEwan et al., 2017)</w:t>
            </w:r>
          </w:p>
        </w:tc>
      </w:tr>
      <w:tr>
        <w:tc>
          <w:tcPr/>
          <w:p>
            <w:pPr>
              <w:pStyle w:val="Compact"/>
            </w:pPr>
            <w:r>
              <w:t xml:space="preserve">F</w:t>
            </w:r>
          </w:p>
        </w:tc>
        <w:tc>
          <w:tcPr/>
          <w:p>
            <w:pPr>
              <w:pStyle w:val="Compact"/>
            </w:pPr>
            <w:r>
              <w:rPr>
                <w:b/>
                <w:bCs/>
              </w:rPr>
              <w:t xml:space="preserve">Fraction of that effect you think is realistic for your team</w:t>
            </w:r>
          </w:p>
        </w:tc>
        <w:tc>
          <w:tcPr/>
          <w:p>
            <w:pPr>
              <w:pStyle w:val="Compact"/>
            </w:pPr>
            <w:r>
              <w:t xml:space="preserve">[0.20], i.e. one fifth. Deliberately conservative.</w:t>
            </w:r>
          </w:p>
        </w:tc>
      </w:tr>
      <w:tr>
        <w:tc>
          <w:tcPr/>
          <w:p>
            <w:pPr>
              <w:pStyle w:val="Compact"/>
            </w:pPr>
            <w:r>
              <w:t xml:space="preserve">G</w:t>
            </w:r>
          </w:p>
        </w:tc>
        <w:tc>
          <w:tcPr/>
          <w:p>
            <w:pPr>
              <w:pStyle w:val="Compact"/>
            </w:pPr>
            <w:r>
              <w:t xml:space="preserve">Value of one standard deviation of performance per person per year, as a share of B</w:t>
            </w:r>
          </w:p>
        </w:tc>
        <w:tc>
          <w:tcPr/>
          <w:p>
            <w:pPr>
              <w:pStyle w:val="Compact"/>
            </w:pPr>
            <w:r>
              <w:t xml:space="preserve">[0.32]. Research on output variability found the spread of output to be about 19%, 32% and 48% of average output for low-, medium- and high-complexity jobs (Hunter et al., 1990). Using cost (B) as a stand-in for the value of output is itself a conservative assumption.</w:t>
            </w:r>
          </w:p>
        </w:tc>
      </w:tr>
      <w:tr>
        <w:tc>
          <w:tcPr/>
          <w:p>
            <w:pPr>
              <w:pStyle w:val="Compact"/>
            </w:pPr>
            <w:r>
              <w:t xml:space="preserve">H</w:t>
            </w:r>
          </w:p>
        </w:tc>
        <w:tc>
          <w:tcPr/>
          <w:p>
            <w:pPr>
              <w:pStyle w:val="Compact"/>
            </w:pPr>
            <w:r>
              <w:t xml:space="preserve">How long you assume the gain lasts</w:t>
            </w:r>
          </w:p>
        </w:tc>
        <w:tc>
          <w:tcPr/>
          <w:p>
            <w:pPr>
              <w:pStyle w:val="Compact"/>
            </w:pPr>
            <w:r>
              <w:t xml:space="preserve">[1] year, with no carry-over assumed</w:t>
            </w:r>
          </w:p>
        </w:tc>
      </w:tr>
    </w:tbl>
    <w:p>
      <w:pPr>
        <w:pStyle w:val="BodyText"/>
      </w:pPr>
      <w:r>
        <w:rPr>
          <w:b/>
          <w:bCs/>
        </w:rPr>
        <w:t xml:space="preserve">Step 1: the team’s time.</w:t>
      </w:r>
      <w:r>
        <w:t xml:space="preserve"> </w:t>
      </w:r>
      <w:r>
        <w:t xml:space="preserve">A × C × (B ÷ D) = 8 × 10 × (120,000 ÷ 1,700) ≈</w:t>
      </w:r>
      <w:r>
        <w:t xml:space="preserve"> </w:t>
      </w:r>
      <w:r>
        <w:rPr>
          <w:b/>
          <w:bCs/>
        </w:rPr>
        <w:t xml:space="preserve">5,650</w:t>
      </w:r>
      <w:r>
        <w:t xml:space="preserve">. That is about 70.6 per hour, times 10 hours, times 8 people.</w:t>
      </w:r>
    </w:p>
    <w:p>
      <w:pPr>
        <w:pStyle w:val="BodyText"/>
      </w:pPr>
      <w:r>
        <w:rPr>
          <w:b/>
          <w:bCs/>
        </w:rPr>
        <w:t xml:space="preserve">Step 2: an illustrative value of the improvement.</w:t>
      </w:r>
      <w:r>
        <w:t xml:space="preserve"> </w:t>
      </w:r>
      <w:r>
        <w:t xml:space="preserve">A × B × G × E × F × H = 8 × 120,000 × 0.32 × 0.58 × 0.20 × 1 ≈</w:t>
      </w:r>
      <w:r>
        <w:t xml:space="preserve"> </w:t>
      </w:r>
      <w:r>
        <w:rPr>
          <w:b/>
          <w:bCs/>
        </w:rPr>
        <w:t xml:space="preserve">35,600</w:t>
      </w:r>
      <w:r>
        <w:t xml:space="preserve">.</w:t>
      </w:r>
    </w:p>
    <w:p>
      <w:pPr>
        <w:pStyle w:val="BodyText"/>
      </w:pPr>
      <w:r>
        <w:rPr>
          <w:b/>
          <w:bCs/>
        </w:rPr>
        <w:t xml:space="preserve">Step 3: the break-even question.</w:t>
      </w:r>
      <w:r>
        <w:t xml:space="preserve"> </w:t>
      </w:r>
      <w:r>
        <w:t xml:space="preserve">What fraction of the research effect would cover the team’s time? Divide Step 1 by (A × B × G × E): 5,650 ÷ 178,000 ≈</w:t>
      </w:r>
      <w:r>
        <w:t xml:space="preserve"> </w:t>
      </w:r>
      <w:r>
        <w:rPr>
          <w:b/>
          <w:bCs/>
        </w:rPr>
        <w:t xml:space="preserve">3%</w:t>
      </w:r>
      <w:r>
        <w:t xml:space="preserve">. In this example, the team’s time would be covered if the team achieved about 3% of the average effect reported in the research. Add the cost of the journey to Step 1 to see the full picture.</w:t>
      </w:r>
    </w:p>
    <w:p>
      <w:pPr>
        <w:pStyle w:val="BodyText"/>
      </w:pPr>
      <w:r>
        <w:rPr>
          <w:b/>
          <w:bCs/>
        </w:rPr>
        <w:t xml:space="preserve">Important limits of this illustration</w:t>
      </w:r>
    </w:p>
    <w:p>
      <w:pPr>
        <w:pStyle w:val="Compact"/>
        <w:numPr>
          <w:ilvl w:val="0"/>
          <w:numId w:val="1002"/>
        </w:numPr>
      </w:pPr>
      <w:r>
        <w:t xml:space="preserve">The research effect (E) is an</w:t>
      </w:r>
      <w:r>
        <w:t xml:space="preserve"> </w:t>
      </w:r>
      <w:r>
        <w:rPr>
          <w:i/>
          <w:iCs/>
        </w:rPr>
        <w:t xml:space="preserve">average across other teams and settings</w:t>
      </w:r>
      <w:r>
        <w:t xml:space="preserve">; your team may gain more, less or nothing measurable.</w:t>
      </w:r>
    </w:p>
    <w:p>
      <w:pPr>
        <w:pStyle w:val="Compact"/>
        <w:numPr>
          <w:ilvl w:val="0"/>
          <w:numId w:val="1002"/>
        </w:numPr>
      </w:pPr>
      <w:r>
        <w:t xml:space="preserve">Applying a team-level effect to each member’s output (G) is a simplification.</w:t>
      </w:r>
    </w:p>
    <w:p>
      <w:pPr>
        <w:pStyle w:val="Compact"/>
        <w:numPr>
          <w:ilvl w:val="0"/>
          <w:numId w:val="1002"/>
        </w:numPr>
      </w:pPr>
      <w:r>
        <w:t xml:space="preserve">Effects can fade without follow-through; we assumed one year and no carry-over.</w:t>
      </w:r>
    </w:p>
    <w:p>
      <w:pPr>
        <w:pStyle w:val="Compact"/>
        <w:numPr>
          <w:ilvl w:val="0"/>
          <w:numId w:val="1002"/>
        </w:numPr>
      </w:pPr>
      <w:r>
        <w:t xml:space="preserve">Choose F honestly. If you are unsure, try 0.05, 0.10 and 0.20 and see whether the decision changes.</w:t>
      </w:r>
    </w:p>
    <w:p>
      <w:pPr>
        <w:pStyle w:val="Compact"/>
        <w:numPr>
          <w:ilvl w:val="0"/>
          <w:numId w:val="1002"/>
        </w:numPr>
      </w:pPr>
      <w:r>
        <w:t xml:space="preserve">Non-financial outcomes the research also links to these practices, such as member satisfaction (De Dreu &amp; Weingart, 2003) and learning behaviour (Edmondson, 1999), are not counted here.</w:t>
      </w:r>
    </w:p>
    <w:p>
      <w:r>
        <w:pict>
          <v:rect style="width:0;height:1.5pt" o:hralign="center" o:hrstd="t" o:hr="t"/>
        </w:pict>
      </w:r>
    </w:p>
    <w:bookmarkEnd w:id="13"/>
    <w:bookmarkStart w:id="14" w:name="privacy-and-data-handling-in-brief"/>
    <w:p>
      <w:pPr>
        <w:pStyle w:val="Heading2"/>
      </w:pPr>
      <w:r>
        <w:t xml:space="preserve">6. Privacy and data handling, in brief</w:t>
      </w:r>
    </w:p>
    <w:p>
      <w:pPr>
        <w:numPr>
          <w:ilvl w:val="0"/>
          <w:numId w:val="1003"/>
        </w:numPr>
      </w:pPr>
      <w:r>
        <w:rPr>
          <w:b/>
          <w:bCs/>
        </w:rPr>
        <w:t xml:space="preserve">Team surveys</w:t>
      </w:r>
      <w:r>
        <w:t xml:space="preserve"> </w:t>
      </w:r>
      <w:r>
        <w:t xml:space="preserve">(Purpose &amp; Mandate, Team Dynamics, Capabilities &amp; Coordination, Handling Disagreement) are reported only as combined team results. A team report opens only when at least three people have answered. Handling Disagreement shows grouped percentages, never who answered what.</w:t>
      </w:r>
    </w:p>
    <w:p>
      <w:pPr>
        <w:numPr>
          <w:ilvl w:val="0"/>
          <w:numId w:val="1003"/>
        </w:numPr>
      </w:pPr>
      <w:r>
        <w:rPr>
          <w:b/>
          <w:bCs/>
        </w:rPr>
        <w:t xml:space="preserve">Peer Feedback</w:t>
      </w:r>
      <w:r>
        <w:t xml:space="preserve"> </w:t>
      </w:r>
      <w:r>
        <w:t xml:space="preserve">ratings are anonymous. Each person’s report is private to them; the team lead does not get access to it.</w:t>
      </w:r>
    </w:p>
    <w:p>
      <w:pPr>
        <w:numPr>
          <w:ilvl w:val="0"/>
          <w:numId w:val="1003"/>
        </w:numPr>
      </w:pPr>
      <w:r>
        <w:rPr>
          <w:b/>
          <w:bCs/>
        </w:rPr>
        <w:t xml:space="preserve">Working Styles</w:t>
      </w:r>
      <w:r>
        <w:t xml:space="preserve"> </w:t>
      </w:r>
      <w:r>
        <w:t xml:space="preserve">manuals are shared by name with the team. This is the point of the unit, and members are told before they answer.</w:t>
      </w:r>
    </w:p>
    <w:p>
      <w:pPr>
        <w:numPr>
          <w:ilvl w:val="0"/>
          <w:numId w:val="1003"/>
        </w:numPr>
      </w:pPr>
      <w:r>
        <w:rPr>
          <w:b/>
          <w:bCs/>
        </w:rPr>
        <w:t xml:space="preserve">AI coaches.</w:t>
      </w:r>
      <w:r>
        <w:t xml:space="preserve"> </w:t>
      </w:r>
      <w:r>
        <w:t xml:space="preserve">Each member has a 1-on-1 coaching chat that the team lead cannot see. The team chat and meeting records are visible to the team.</w:t>
      </w:r>
    </w:p>
    <w:p>
      <w:pPr>
        <w:numPr>
          <w:ilvl w:val="0"/>
          <w:numId w:val="1003"/>
        </w:numPr>
      </w:pPr>
      <w:r>
        <w:rPr>
          <w:b/>
          <w:bCs/>
        </w:rPr>
        <w:t xml:space="preserve">Optional Big Five profile.</w:t>
      </w:r>
      <w:r>
        <w:t xml:space="preserve"> </w:t>
      </w:r>
      <w:r>
        <w:t xml:space="preserve">It is private to each person, requires explicit consent, and can be deleted by the person at any time.</w:t>
      </w:r>
    </w:p>
    <w:p>
      <w:pPr>
        <w:numPr>
          <w:ilvl w:val="0"/>
          <w:numId w:val="1003"/>
        </w:numPr>
      </w:pPr>
      <w:r>
        <w:rPr>
          <w:b/>
          <w:bCs/>
        </w:rPr>
        <w:t xml:space="preserve">A note on small teams.</w:t>
      </w:r>
      <w:r>
        <w:t xml:space="preserve"> </w:t>
      </w:r>
      <w:r>
        <w:t xml:space="preserve">Even with thresholds, in a small team context or someone’s own words can make a comment recognisable. People are told this.</w:t>
      </w:r>
    </w:p>
    <w:p>
      <w:pPr>
        <w:numPr>
          <w:ilvl w:val="0"/>
          <w:numId w:val="1003"/>
        </w:numPr>
      </w:pPr>
      <w:r>
        <w:rPr>
          <w:b/>
          <w:bCs/>
        </w:rPr>
        <w:t xml:space="preserve">Recommended use.</w:t>
      </w:r>
      <w:r>
        <w:t xml:space="preserve"> </w:t>
      </w:r>
      <w:r>
        <w:t xml:space="preserve">The journey is designed for development. We recommend that organisations agree not to use journey results in performance appraisal.</w:t>
      </w:r>
    </w:p>
    <w:p>
      <w:pPr>
        <w:numPr>
          <w:ilvl w:val="0"/>
          <w:numId w:val="1003"/>
        </w:numPr>
      </w:pPr>
      <w:r>
        <w:rPr>
          <w:b/>
          <w:bCs/>
        </w:rPr>
        <w:t xml:space="preserve">Where data is held.</w:t>
      </w:r>
      <w:r>
        <w:t xml:space="preserve"> </w:t>
      </w:r>
      <w:r>
        <w:t xml:space="preserve">Build Better Teams runs on Microsoft Azure in West Europe (the Netherlands); the AI coaches use Azure OpenAI in Sweden. Our main systems, including the AI coaches, are hosted in the EU.</w:t>
      </w:r>
    </w:p>
    <w:p>
      <w:pPr>
        <w:numPr>
          <w:ilvl w:val="0"/>
          <w:numId w:val="1003"/>
        </w:numPr>
      </w:pPr>
      <w:r>
        <w:rPr>
          <w:b/>
          <w:bCs/>
        </w:rPr>
        <w:t xml:space="preserve">How long it is kept.</w:t>
      </w:r>
      <w:r>
        <w:t xml:space="preserve"> </w:t>
      </w:r>
      <w:r>
        <w:t xml:space="preserve">A team’s data is deleted 24 months after the team’s last activity, after a warning email. Anyone can delete their own account at any time.</w:t>
      </w:r>
    </w:p>
    <w:p>
      <w:pPr>
        <w:numPr>
          <w:ilvl w:val="0"/>
          <w:numId w:val="1003"/>
        </w:numPr>
      </w:pPr>
      <w:r>
        <w:rPr>
          <w:b/>
          <w:bCs/>
        </w:rPr>
        <w:t xml:space="preserve">Privacy notice:</w:t>
      </w:r>
      <w:r>
        <w:t xml:space="preserve"> </w:t>
      </w:r>
      <w:r>
        <w:t xml:space="preserve">https://teams.leaderinsight.ai/privacy</w:t>
      </w:r>
    </w:p>
    <w:bookmarkEnd w:id="14"/>
    <w:bookmarkStart w:id="15" w:name="references"/>
    <w:p>
      <w:pPr>
        <w:pStyle w:val="Heading2"/>
      </w:pPr>
      <w:r>
        <w:t xml:space="preserve">References</w:t>
      </w:r>
    </w:p>
    <w:p>
      <w:pPr>
        <w:pStyle w:val="FirstParagraph"/>
      </w:pPr>
      <w:r>
        <w:t xml:space="preserve">Antonioni, D. (1994). The effects of feedback accountability on upward appraisal ratings.</w:t>
      </w:r>
      <w:r>
        <w:t xml:space="preserve"> </w:t>
      </w:r>
      <w:r>
        <w:rPr>
          <w:i/>
          <w:iCs/>
        </w:rPr>
        <w:t xml:space="preserve">Personnel Psychology, 47</w:t>
      </w:r>
      <w:r>
        <w:t xml:space="preserve">(2), 349–356. https://doi.org/10.1111/j.1744-6570.1994.tb01728.x</w:t>
      </w:r>
    </w:p>
    <w:p>
      <w:pPr>
        <w:pStyle w:val="BodyText"/>
      </w:pPr>
      <w:r>
        <w:t xml:space="preserve">Blume, B. D., Ford, J. K., Baldwin, T. T., &amp; Huang, J. L. (2010). Transfer of training: A meta-analytic review.</w:t>
      </w:r>
      <w:r>
        <w:t xml:space="preserve"> </w:t>
      </w:r>
      <w:r>
        <w:rPr>
          <w:i/>
          <w:iCs/>
        </w:rPr>
        <w:t xml:space="preserve">Journal of Management, 36</w:t>
      </w:r>
      <w:r>
        <w:t xml:space="preserve">(4), 1065–1105. https://doi.org/10.1177/0149206309352880</w:t>
      </w:r>
    </w:p>
    <w:p>
      <w:pPr>
        <w:pStyle w:val="BodyText"/>
      </w:pPr>
      <w:r>
        <w:t xml:space="preserve">Cross, R., Rebele, R., &amp; Grant, A. (2016, January–February). Collaborative overload.</w:t>
      </w:r>
      <w:r>
        <w:t xml:space="preserve"> </w:t>
      </w:r>
      <w:r>
        <w:rPr>
          <w:i/>
          <w:iCs/>
        </w:rPr>
        <w:t xml:space="preserve">Harvard Business Review</w:t>
      </w:r>
      <w:r>
        <w:t xml:space="preserve">. https://hbr.org/2016/01/collaborative-overload</w:t>
      </w:r>
    </w:p>
    <w:p>
      <w:pPr>
        <w:pStyle w:val="BodyText"/>
      </w:pPr>
      <w:r>
        <w:t xml:space="preserve">De Dreu, C. K. W., &amp; Weingart, L. R. (2003). Task versus relationship conflict, team performance, and team member satisfaction: A meta-analysis.</w:t>
      </w:r>
      <w:r>
        <w:t xml:space="preserve"> </w:t>
      </w:r>
      <w:r>
        <w:rPr>
          <w:i/>
          <w:iCs/>
        </w:rPr>
        <w:t xml:space="preserve">Journal of Applied Psychology, 88</w:t>
      </w:r>
      <w:r>
        <w:t xml:space="preserve">(4), 741–749. https://doi.org/10.1037/0021-9010.88.4.741</w:t>
      </w:r>
    </w:p>
    <w:p>
      <w:pPr>
        <w:pStyle w:val="BodyText"/>
      </w:pPr>
      <w:r>
        <w:t xml:space="preserve">de Jong, B. A., Dirks, K. T., &amp; Gillespie, N. (2016). Trust and team performance: A meta-analysis of main effects, moderators, and covariates.</w:t>
      </w:r>
      <w:r>
        <w:t xml:space="preserve"> </w:t>
      </w:r>
      <w:r>
        <w:rPr>
          <w:i/>
          <w:iCs/>
        </w:rPr>
        <w:t xml:space="preserve">Journal of Applied Psychology, 101</w:t>
      </w:r>
      <w:r>
        <w:t xml:space="preserve">(8), 1134–1150. https://doi.org/10.1037/apl0000110</w:t>
      </w:r>
    </w:p>
    <w:p>
      <w:pPr>
        <w:pStyle w:val="BodyText"/>
      </w:pPr>
      <w:r>
        <w:t xml:space="preserve">DeChurch, L. A., Mesmer-Magnus, J. R., &amp; Doty, D. (2013). Moving beyond relationship and task conflict: Toward a process-state perspective.</w:t>
      </w:r>
      <w:r>
        <w:t xml:space="preserve"> </w:t>
      </w:r>
      <w:r>
        <w:rPr>
          <w:i/>
          <w:iCs/>
        </w:rPr>
        <w:t xml:space="preserve">Journal of Applied Psychology, 98</w:t>
      </w:r>
      <w:r>
        <w:t xml:space="preserve">(4), 559–578. https://doi.org/10.1037/a0032896</w:t>
      </w:r>
    </w:p>
    <w:p>
      <w:pPr>
        <w:pStyle w:val="BodyText"/>
      </w:pPr>
      <w:r>
        <w:t xml:space="preserve">Donovan, J. J., &amp; Radosevich, D. J. (1999). A meta-analytic review of the distribution of practice effect: Now you see it, now you don’t.</w:t>
      </w:r>
      <w:r>
        <w:t xml:space="preserve"> </w:t>
      </w:r>
      <w:r>
        <w:rPr>
          <w:i/>
          <w:iCs/>
        </w:rPr>
        <w:t xml:space="preserve">Journal of Applied Psychology, 84</w:t>
      </w:r>
      <w:r>
        <w:t xml:space="preserve">(5), 795–805. https://doi.org/10.1037/0021-9010.84.5.795</w:t>
      </w:r>
    </w:p>
    <w:p>
      <w:pPr>
        <w:pStyle w:val="BodyText"/>
      </w:pPr>
      <w:r>
        <w:t xml:space="preserve">Edmondson, A. (1999). Psychological safety and learning behavior in work teams.</w:t>
      </w:r>
      <w:r>
        <w:t xml:space="preserve"> </w:t>
      </w:r>
      <w:r>
        <w:rPr>
          <w:i/>
          <w:iCs/>
        </w:rPr>
        <w:t xml:space="preserve">Administrative Science Quarterly, 44</w:t>
      </w:r>
      <w:r>
        <w:t xml:space="preserve">(2), 350–383. https://doi.org/10.2307/2666999</w:t>
      </w:r>
    </w:p>
    <w:p>
      <w:pPr>
        <w:pStyle w:val="BodyText"/>
      </w:pPr>
      <w:r>
        <w:t xml:space="preserve">Gabelica, C., Van den Bossche, P., De Maeyer, S., Segers, M., &amp; Gijselaers, W. (2014). The effect of team feedback and guided reflexivity on team performance change.</w:t>
      </w:r>
      <w:r>
        <w:t xml:space="preserve"> </w:t>
      </w:r>
      <w:r>
        <w:rPr>
          <w:i/>
          <w:iCs/>
        </w:rPr>
        <w:t xml:space="preserve">Learning and Instruction, 34</w:t>
      </w:r>
      <w:r>
        <w:t xml:space="preserve">, 86–96. https://doi.org/10.1016/j.learninstruc.2014.09.001</w:t>
      </w:r>
    </w:p>
    <w:p>
      <w:pPr>
        <w:pStyle w:val="BodyText"/>
      </w:pPr>
      <w:r>
        <w:t xml:space="preserve">Gilboa, S., Shirom, A., Fried, Y., &amp; Cooper, C. (2008). A meta-analysis of work demand stressors and job performance: Examining main and moderating effects.</w:t>
      </w:r>
      <w:r>
        <w:t xml:space="preserve"> </w:t>
      </w:r>
      <w:r>
        <w:rPr>
          <w:i/>
          <w:iCs/>
        </w:rPr>
        <w:t xml:space="preserve">Personnel Psychology, 61</w:t>
      </w:r>
      <w:r>
        <w:t xml:space="preserve">(2), 227–271. https://doi.org/10.1111/j.1744-6570.2008.00113.x</w:t>
      </w:r>
    </w:p>
    <w:p>
      <w:pPr>
        <w:pStyle w:val="BodyText"/>
      </w:pPr>
      <w:r>
        <w:t xml:space="preserve">Gollwitzer, P. M., &amp; Sheeran, P. (2006). Implementation intentions and goal achievement: A meta-analysis of effects and processes.</w:t>
      </w:r>
      <w:r>
        <w:t xml:space="preserve"> </w:t>
      </w:r>
      <w:r>
        <w:rPr>
          <w:i/>
          <w:iCs/>
        </w:rPr>
        <w:t xml:space="preserve">Advances in Experimental Social Psychology, 38</w:t>
      </w:r>
      <w:r>
        <w:t xml:space="preserve">, 69–119. https://doi.org/10.1016/S0065-2601(06)38002-1</w:t>
      </w:r>
    </w:p>
    <w:p>
      <w:pPr>
        <w:pStyle w:val="BodyText"/>
      </w:pPr>
      <w:r>
        <w:t xml:space="preserve">Gollwitzer, P. M., Sheeran, P., Michalski, V., &amp; Seifert, A. E. (2009). When intentions go public: Does social reality widen the intention-behavior gap?</w:t>
      </w:r>
      <w:r>
        <w:t xml:space="preserve"> </w:t>
      </w:r>
      <w:r>
        <w:rPr>
          <w:i/>
          <w:iCs/>
        </w:rPr>
        <w:t xml:space="preserve">Psychological Science, 20</w:t>
      </w:r>
      <w:r>
        <w:t xml:space="preserve">(5), 612–618. https://doi.org/10.1111/j.1467-9280.2009.02336.x</w:t>
      </w:r>
    </w:p>
    <w:p>
      <w:pPr>
        <w:pStyle w:val="BodyText"/>
      </w:pPr>
      <w:r>
        <w:t xml:space="preserve">Groysberg, B., Lee, L.-E., &amp; Nanda, A. (2008). Can they take it with them? The portability of star knowledge workers’ performance.</w:t>
      </w:r>
      <w:r>
        <w:t xml:space="preserve"> </w:t>
      </w:r>
      <w:r>
        <w:rPr>
          <w:i/>
          <w:iCs/>
        </w:rPr>
        <w:t xml:space="preserve">Management Science, 54</w:t>
      </w:r>
      <w:r>
        <w:t xml:space="preserve">(7), 1213–1230. https://doi.org/10.1287/mnsc.1070.0809</w:t>
      </w:r>
    </w:p>
    <w:p>
      <w:pPr>
        <w:pStyle w:val="BodyText"/>
      </w:pPr>
      <w:r>
        <w:t xml:space="preserve">Harkin, B., Webb, T. L., Chang, B. P. I., Prestwich, A., Conner, M., Kellar, I., Benn, Y., &amp; Sheeran, P. (2016). Does monitoring goal progress promote goal attainment? A meta-analysis of the experimental evidence.</w:t>
      </w:r>
      <w:r>
        <w:t xml:space="preserve"> </w:t>
      </w:r>
      <w:r>
        <w:rPr>
          <w:i/>
          <w:iCs/>
        </w:rPr>
        <w:t xml:space="preserve">Psychological Bulletin, 142</w:t>
      </w:r>
      <w:r>
        <w:t xml:space="preserve">(2), 198–229. https://doi.org/10.1037/bul0000025</w:t>
      </w:r>
    </w:p>
    <w:p>
      <w:pPr>
        <w:pStyle w:val="BodyText"/>
      </w:pPr>
      <w:r>
        <w:t xml:space="preserve">Hunter, J. E., Schmidt, F. L., &amp; Judiesch, M. K. (1990). Individual differences in output variability as a function of job complexity.</w:t>
      </w:r>
      <w:r>
        <w:t xml:space="preserve"> </w:t>
      </w:r>
      <w:r>
        <w:rPr>
          <w:i/>
          <w:iCs/>
        </w:rPr>
        <w:t xml:space="preserve">Journal of Applied Psychology, 75</w:t>
      </w:r>
      <w:r>
        <w:t xml:space="preserve">(1), 28–42. https://doi.org/10.1037/0021-9010.75.1.28</w:t>
      </w:r>
    </w:p>
    <w:p>
      <w:pPr>
        <w:pStyle w:val="BodyText"/>
      </w:pPr>
      <w:r>
        <w:t xml:space="preserve">Kleingeld, A., van Mierlo, H., &amp; Arends, L. (2011). The effect of goal setting on group performance: A meta-analysis.</w:t>
      </w:r>
      <w:r>
        <w:t xml:space="preserve"> </w:t>
      </w:r>
      <w:r>
        <w:rPr>
          <w:i/>
          <w:iCs/>
        </w:rPr>
        <w:t xml:space="preserve">Journal of Applied Psychology, 96</w:t>
      </w:r>
      <w:r>
        <w:t xml:space="preserve">(6), 1289–1304. https://doi.org/10.1037/a0024315</w:t>
      </w:r>
    </w:p>
    <w:p>
      <w:pPr>
        <w:pStyle w:val="BodyText"/>
      </w:pPr>
      <w:r>
        <w:t xml:space="preserve">Kluger, A. N., &amp; DeNisi, A. (1996). The effects of feedback interventions on performance: A historical review, a meta-analysis, and a preliminary feedback intervention theory.</w:t>
      </w:r>
      <w:r>
        <w:t xml:space="preserve"> </w:t>
      </w:r>
      <w:r>
        <w:rPr>
          <w:i/>
          <w:iCs/>
        </w:rPr>
        <w:t xml:space="preserve">Psychological Bulletin, 119</w:t>
      </w:r>
      <w:r>
        <w:t xml:space="preserve">(2), 254–284. https://doi.org/10.1037/0033-2909.119.2.254</w:t>
      </w:r>
    </w:p>
    <w:p>
      <w:pPr>
        <w:pStyle w:val="BodyText"/>
      </w:pPr>
      <w:r>
        <w:t xml:space="preserve">Lacerenza, C. N., Reyes, D. L., Marlow, S. L., Joseph, D. L., &amp; Salas, E. (2017). Leadership training design, delivery, and implementation: A meta-analysis.</w:t>
      </w:r>
      <w:r>
        <w:t xml:space="preserve"> </w:t>
      </w:r>
      <w:r>
        <w:rPr>
          <w:i/>
          <w:iCs/>
        </w:rPr>
        <w:t xml:space="preserve">Journal of Applied Psychology, 102</w:t>
      </w:r>
      <w:r>
        <w:t xml:space="preserve">(12), 1686–1718. https://doi.org/10.1037/apl0000241</w:t>
      </w:r>
    </w:p>
    <w:p>
      <w:pPr>
        <w:pStyle w:val="BodyText"/>
      </w:pPr>
      <w:r>
        <w:t xml:space="preserve">Lines, R. L. J., Pietsch, S., Crane, M., Ntoumanis, N., Temby, P., Graham, S., &amp; Gucciardi, D. F. (2021). The effectiveness of team reflexivity interventions: A systematic review and meta-analysis of randomized controlled trials.</w:t>
      </w:r>
      <w:r>
        <w:t xml:space="preserve"> </w:t>
      </w:r>
      <w:r>
        <w:rPr>
          <w:i/>
          <w:iCs/>
        </w:rPr>
        <w:t xml:space="preserve">Sport, Exercise, and Performance Psychology, 10</w:t>
      </w:r>
      <w:r>
        <w:t xml:space="preserve">(3), 438–473. https://doi.org/10.1037/spy0000251</w:t>
      </w:r>
    </w:p>
    <w:p>
      <w:pPr>
        <w:pStyle w:val="BodyText"/>
      </w:pPr>
      <w:r>
        <w:t xml:space="preserve">Lokhorst, A. M., Werner, C., Staats, H., van Dijk, E., &amp; Gale, J. L. (2013). Commitment and behavior change: A meta-analysis and critical review of commitment-making strategies in environmental research.</w:t>
      </w:r>
      <w:r>
        <w:t xml:space="preserve"> </w:t>
      </w:r>
      <w:r>
        <w:rPr>
          <w:i/>
          <w:iCs/>
        </w:rPr>
        <w:t xml:space="preserve">Environment and Behavior, 45</w:t>
      </w:r>
      <w:r>
        <w:t xml:space="preserve">(1), 3–34. https://doi.org/10.1177/0013916511411477</w:t>
      </w:r>
    </w:p>
    <w:p>
      <w:pPr>
        <w:pStyle w:val="BodyText"/>
      </w:pPr>
      <w:r>
        <w:t xml:space="preserve">McEwan, D., Ruissen, G. R., Eys, M. A., Zumbo, B. D., &amp; Beauchamp, M. R. (2017). The effectiveness of teamwork training on teamwork behaviors and team performance: A systematic review and meta-analysis of controlled interventions.</w:t>
      </w:r>
      <w:r>
        <w:t xml:space="preserve"> </w:t>
      </w:r>
      <w:r>
        <w:rPr>
          <w:i/>
          <w:iCs/>
        </w:rPr>
        <w:t xml:space="preserve">PLOS ONE, 12</w:t>
      </w:r>
      <w:r>
        <w:t xml:space="preserve">(1), e0169604. https://doi.org/10.1371/journal.pone.0169604</w:t>
      </w:r>
    </w:p>
    <w:p>
      <w:pPr>
        <w:pStyle w:val="BodyText"/>
      </w:pPr>
      <w:r>
        <w:t xml:space="preserve">Smither, J. W., London, M., &amp; Reilly, R. R. (2005). Does performance improve following multisource feedback? A theoretical model, meta-analysis, and review of empirical findings.</w:t>
      </w:r>
      <w:r>
        <w:t xml:space="preserve"> </w:t>
      </w:r>
      <w:r>
        <w:rPr>
          <w:i/>
          <w:iCs/>
        </w:rPr>
        <w:t xml:space="preserve">Personnel Psychology, 58</w:t>
      </w:r>
      <w:r>
        <w:t xml:space="preserve">(1), 33–66. https://doi.org/10.1111/j.1744-6570.2005.514_1.x</w:t>
      </w:r>
    </w:p>
    <w:p>
      <w:pPr>
        <w:pStyle w:val="BodyText"/>
      </w:pPr>
      <w:r>
        <w:t xml:space="preserve">Sturman, M. C. (2000). Implications of utility analysis adjustments for estimates of human resource intervention value.</w:t>
      </w:r>
      <w:r>
        <w:t xml:space="preserve"> </w:t>
      </w:r>
      <w:r>
        <w:rPr>
          <w:i/>
          <w:iCs/>
        </w:rPr>
        <w:t xml:space="preserve">Journal of Management, 26</w:t>
      </w:r>
      <w:r>
        <w:t xml:space="preserve">(2), 281–299. https://doi.org/10.1177/014920630002600206</w:t>
      </w:r>
    </w:p>
    <w:p>
      <w:pPr>
        <w:pStyle w:val="BodyText"/>
      </w:pPr>
      <w:r>
        <w:t xml:space="preserve">Tannenbaum, S. I., &amp; Cerasoli, C. P. (2013). Do team and individual debriefs enhance performance? A meta-analysis.</w:t>
      </w:r>
      <w:r>
        <w:t xml:space="preserve"> </w:t>
      </w:r>
      <w:r>
        <w:rPr>
          <w:i/>
          <w:iCs/>
        </w:rPr>
        <w:t xml:space="preserve">Human Factors, 55</w:t>
      </w:r>
      <w:r>
        <w:t xml:space="preserve">(1), 231–245. https://doi.org/10.1177/0018720812448394</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2026-10-10T17:38:59Z</dcterms:created>
  <dcterms:modified xsi:type="dcterms:W3CDTF">2026-10-10T17:38:59Z</dcterms:modified>
</cp:coreProperties>
</file>

<file path=docProps/custom.xml><?xml version="1.0" encoding="utf-8"?>
<Properties xmlns="http://schemas.openxmlformats.org/officeDocument/2006/custom-properties" xmlns:vt="http://schemas.openxmlformats.org/officeDocument/2006/docPropsVTypes"/>
</file>